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bookmarkStart w:colFirst="0" w:colLast="0" w:name="_heading=h.gjdgxs" w:id="0"/>
      <w:bookmarkEnd w:id="0"/>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4">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5">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“Acquired Rights Directive” </w:t>
            </w:r>
          </w:p>
        </w:tc>
        <w:tc>
          <w:tcPr/>
          <w:p w:rsidR="00000000" w:rsidDel="00000000" w:rsidP="00000000" w:rsidRDefault="00000000" w:rsidRPr="00000000" w14:paraId="00000007">
            <w:pPr>
              <w:tabs>
                <w:tab w:val="left" w:leader="none" w:pos="-179"/>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08">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"Employee Liability"</w:t>
            </w:r>
          </w:p>
        </w:tc>
        <w:tc>
          <w:tcPr/>
          <w:p w:rsidR="00000000" w:rsidDel="00000000" w:rsidP="00000000" w:rsidRDefault="00000000" w:rsidRPr="00000000" w14:paraId="0000000A">
            <w:pPr>
              <w:tabs>
                <w:tab w:val="left" w:leader="none" w:pos="-179"/>
                <w:tab w:val="left" w:leader="none" w:pos="-9"/>
              </w:tabs>
              <w:spacing w:after="120" w:lineRule="auto"/>
              <w:ind w:left="17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B">
            <w:pPr>
              <w:numPr>
                <w:ilvl w:val="1"/>
                <w:numId w:val="7"/>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redundancy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D">
            <w:pPr>
              <w:numPr>
                <w:ilvl w:val="1"/>
                <w:numId w:val="7"/>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compensation;</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numPr>
                <w:ilvl w:val="1"/>
                <w:numId w:val="7"/>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1">
            <w:pPr>
              <w:numPr>
                <w:ilvl w:val="1"/>
                <w:numId w:val="7"/>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3">
            <w:pPr>
              <w:numPr>
                <w:ilvl w:val="1"/>
                <w:numId w:val="7"/>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including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5">
            <w:pPr>
              <w:numPr>
                <w:ilvl w:val="1"/>
                <w:numId w:val="7"/>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numPr>
                <w:ilvl w:val="1"/>
                <w:numId w:val="7"/>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"Former Supplier"</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1C">
            <w:pPr>
              <w:numPr>
                <w:ilvl w:val="5"/>
                <w:numId w:val="7"/>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p w:rsidR="00000000" w:rsidDel="00000000" w:rsidP="00000000" w:rsidRDefault="00000000" w:rsidRPr="00000000" w14:paraId="0000001D">
            <w:pPr>
              <w:numPr>
                <w:ilvl w:val="5"/>
                <w:numId w:val="7"/>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“Old Fair Deal”</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HM Treasury Guidance “</w:t>
            </w:r>
            <w:r w:rsidDel="00000000" w:rsidR="00000000" w:rsidRPr="00000000">
              <w:rPr>
                <w:rFonts w:ascii="Arial" w:cs="Arial" w:eastAsia="Arial" w:hAnsi="Arial"/>
                <w:i w:val="1"/>
                <w:sz w:val="24"/>
                <w:szCs w:val="24"/>
                <w:rtl w:val="0"/>
              </w:rPr>
              <w:t xml:space="preserve">Staff Transfers from Central Government: A Fair Deal for Staff Pensions</w:t>
            </w:r>
            <w:r w:rsidDel="00000000" w:rsidR="00000000" w:rsidRPr="00000000">
              <w:rPr>
                <w:rFonts w:ascii="Arial" w:cs="Arial" w:eastAsia="Arial" w:hAnsi="Arial"/>
                <w:sz w:val="24"/>
                <w:szCs w:val="24"/>
                <w:rtl w:val="0"/>
              </w:rPr>
              <w:t xml:space="preserve">” issued in June 1999 including the supplementary guidance “</w:t>
            </w:r>
            <w:r w:rsidDel="00000000" w:rsidR="00000000" w:rsidRPr="00000000">
              <w:rPr>
                <w:rFonts w:ascii="Arial" w:cs="Arial" w:eastAsia="Arial" w:hAnsi="Arial"/>
                <w:i w:val="1"/>
                <w:sz w:val="24"/>
                <w:szCs w:val="24"/>
                <w:rtl w:val="0"/>
              </w:rPr>
              <w:t xml:space="preserve">Fair Deal for Staff pensions: Procurement of Bulk Transfer Agreements and Related Issues</w:t>
            </w:r>
            <w:r w:rsidDel="00000000" w:rsidR="00000000" w:rsidRPr="00000000">
              <w:rPr>
                <w:rFonts w:ascii="Arial" w:cs="Arial" w:eastAsia="Arial" w:hAnsi="Arial"/>
                <w:sz w:val="24"/>
                <w:szCs w:val="24"/>
                <w:rtl w:val="0"/>
              </w:rPr>
              <w:t xml:space="preserve">” issued in June 2004;</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"Partial Termination"</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 Date"</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"Staffing Information"</w:t>
            </w:r>
          </w:p>
        </w:tc>
        <w:tc>
          <w:tcPr/>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Final Supplier Personnel List"</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Provisional Supplier Personnel List"</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"Transferring Buyer Employees"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6">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47">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8">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4C">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4D">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E">
      <w:pPr>
        <w:numPr>
          <w:ilvl w:val="1"/>
          <w:numId w:val="3"/>
        </w:numPr>
        <w:spacing w:after="0" w:line="259" w:lineRule="auto"/>
        <w:ind w:left="1440" w:hanging="360"/>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4F">
      <w:pPr>
        <w:numPr>
          <w:ilvl w:val="1"/>
          <w:numId w:val="3"/>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to the extent that it supports Part E (Staff Transfer on Exit)</w:t>
      </w:r>
    </w:p>
    <w:p w:rsidR="00000000" w:rsidDel="00000000" w:rsidP="00000000" w:rsidRDefault="00000000" w:rsidRPr="00000000" w14:paraId="00000050">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pStyle w:val="Heading1"/>
        <w:jc w:val="both"/>
        <w:rPr>
          <w:rFonts w:ascii="Arial" w:cs="Arial" w:eastAsia="Arial" w:hAnsi="Arial"/>
          <w:sz w:val="36"/>
          <w:szCs w:val="36"/>
        </w:rPr>
      </w:pPr>
      <w:r w:rsidDel="00000000" w:rsidR="00000000" w:rsidRPr="00000000">
        <w:br w:type="page"/>
      </w:r>
      <w:r w:rsidDel="00000000" w:rsidR="00000000" w:rsidRPr="00000000">
        <w:rPr>
          <w:rFonts w:ascii="Arial" w:cs="Arial" w:eastAsia="Arial" w:hAnsi="Arial"/>
          <w:sz w:val="36"/>
          <w:szCs w:val="36"/>
          <w:rtl w:val="0"/>
        </w:rPr>
        <w:t xml:space="preserve">Part C: No Staff Transfer on the Start Date</w:t>
      </w:r>
    </w:p>
    <w:p w:rsidR="00000000" w:rsidDel="00000000" w:rsidP="00000000" w:rsidRDefault="00000000" w:rsidRPr="00000000" w14:paraId="00000053">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9x2ik5" w:id="1"/>
      <w:bookmarkEnd w:id="1"/>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55">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p2csry" w:id="2"/>
      <w:bookmarkEnd w:id="2"/>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56">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3"/>
      <w:bookmarkEnd w:id="3"/>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57">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4"/>
      <w:bookmarkEnd w:id="4"/>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3ckvvd" w:id="5"/>
      <w:bookmarkEnd w:id="5"/>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05A">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05B">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5C">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F">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60">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61">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62">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ihv636" w:id="6"/>
      <w:bookmarkEnd w:id="6"/>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63">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4">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65">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2hioqz" w:id="7"/>
      <w:bookmarkEnd w:id="7"/>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066">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67">
      <w:pPr>
        <w:numPr>
          <w:ilvl w:val="3"/>
          <w:numId w:val="5"/>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06B">
      <w:pPr>
        <w:numPr>
          <w:ilvl w:val="3"/>
          <w:numId w:val="5"/>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6D">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hmsyys" w:id="8"/>
      <w:bookmarkEnd w:id="8"/>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E">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6F">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70">
      <w:pPr>
        <w:pStyle w:val="Heading1"/>
        <w:keepNext w:val="1"/>
        <w:jc w:val="both"/>
        <w:rPr>
          <w:rFonts w:ascii="Arial" w:cs="Arial" w:eastAsia="Arial" w:hAnsi="Arial"/>
          <w:sz w:val="36"/>
          <w:szCs w:val="36"/>
        </w:rPr>
      </w:pPr>
      <w:r w:rsidDel="00000000" w:rsidR="00000000" w:rsidRPr="00000000">
        <w:br w:type="page"/>
      </w:r>
      <w:r w:rsidDel="00000000" w:rsidR="00000000" w:rsidRPr="00000000">
        <w:rPr>
          <w:rFonts w:ascii="Arial" w:cs="Arial" w:eastAsia="Arial" w:hAnsi="Arial"/>
          <w:sz w:val="36"/>
          <w:szCs w:val="36"/>
          <w:rtl w:val="0"/>
        </w:rPr>
        <w:t xml:space="preserve">Part D: Pensions</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Part D applies only to the extent it supports Part E and is included here in its entirety for that purpose only.  </w:t>
      </w:r>
    </w:p>
    <w:p w:rsidR="00000000" w:rsidDel="00000000" w:rsidP="00000000" w:rsidRDefault="00000000" w:rsidRPr="00000000" w14:paraId="00000072">
      <w:pPr>
        <w:keepNext w:val="1"/>
        <w:numPr>
          <w:ilvl w:val="0"/>
          <w:numId w:val="1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73">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074">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75">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076">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77">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07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079">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07A">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7C">
            <w:pPr>
              <w:widowControl w:val="0"/>
              <w:numPr>
                <w:ilvl w:val="0"/>
                <w:numId w:val="6"/>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07D">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7E">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7F">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08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8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08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083">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084">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086">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087">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8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08A">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08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8C">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08D">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8E">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08F">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0">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09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2">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09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4">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9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096">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09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09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09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09A">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w:t>
            </w:r>
            <w:r w:rsidDel="00000000" w:rsidR="00000000" w:rsidRPr="00000000">
              <w:rPr>
                <w:rFonts w:ascii="Arial" w:cs="Arial" w:eastAsia="Arial" w:hAnsi="Arial"/>
                <w:sz w:val="24"/>
                <w:szCs w:val="24"/>
                <w:rtl w:val="0"/>
              </w:rPr>
              <w:t xml:space="preserve">Part D</w:t>
            </w:r>
            <w:r w:rsidDel="00000000" w:rsidR="00000000" w:rsidRPr="00000000">
              <w:rPr>
                <w:rFonts w:ascii="Arial" w:cs="Arial" w:eastAsia="Arial" w:hAnsi="Arial"/>
                <w:sz w:val="24"/>
                <w:szCs w:val="24"/>
                <w:rtl w:val="0"/>
              </w:rPr>
              <w:t xml:space="preserve">;</w:t>
            </w:r>
          </w:p>
        </w:tc>
      </w:tr>
      <w:tr>
        <w:trPr>
          <w:cantSplit w:val="0"/>
          <w:tblHeader w:val="0"/>
        </w:trPr>
        <w:tc>
          <w:tcPr>
            <w:shd w:fill="auto" w:val="clear"/>
          </w:tcPr>
          <w:p w:rsidR="00000000" w:rsidDel="00000000" w:rsidP="00000000" w:rsidRDefault="00000000" w:rsidRPr="00000000" w14:paraId="0000009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09C">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9D">
      <w:pPr>
        <w:rPr>
          <w:rFonts w:ascii="Arial" w:cs="Arial" w:eastAsia="Arial" w:hAnsi="Arial"/>
          <w:b w:val="1"/>
          <w:color w:val="000000"/>
          <w:sz w:val="36"/>
          <w:szCs w:val="36"/>
        </w:rPr>
      </w:pPr>
      <w:bookmarkStart w:colFirst="0" w:colLast="0" w:name="_heading=h.34g0dwd" w:id="9"/>
      <w:bookmarkEnd w:id="9"/>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09E">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09F">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jlao46" w:id="10"/>
      <w:bookmarkEnd w:id="10"/>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0A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11"/>
      <w:bookmarkEnd w:id="11"/>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0A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12"/>
      <w:bookmarkEnd w:id="12"/>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0A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0A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0A5">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xvir7l" w:id="13"/>
      <w:bookmarkEnd w:id="13"/>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0A6">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0A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0A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0A9">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0A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0A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0A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0A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0A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0B1">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0B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0B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0B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0B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0B6">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0B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0B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0B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0B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0B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0B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0BD">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0BE">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0BF">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0C0">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hv69ve" w:id="14"/>
      <w:bookmarkEnd w:id="14"/>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0C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0C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0C3">
      <w:pPr>
        <w:pStyle w:val="Heading5"/>
        <w:numPr>
          <w:ilvl w:val="4"/>
          <w:numId w:val="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0C4">
      <w:pPr>
        <w:pStyle w:val="Heading5"/>
        <w:numPr>
          <w:ilvl w:val="4"/>
          <w:numId w:val="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0C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15"/>
      <w:bookmarkEnd w:id="15"/>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0C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C7">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0C8">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0C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0C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0C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h042r0" w:id="16"/>
      <w:bookmarkEnd w:id="16"/>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0C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0C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0D1">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w5ecyt" w:id="17"/>
      <w:bookmarkEnd w:id="17"/>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0D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baon6m" w:id="18"/>
      <w:bookmarkEnd w:id="18"/>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0D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vac5uf" w:id="19"/>
      <w:bookmarkEnd w:id="19"/>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0D4">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0D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afmg28" w:id="20"/>
      <w:bookmarkEnd w:id="20"/>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0D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0D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0D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0DA">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0DB">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pkwqa1" w:id="21"/>
      <w:bookmarkEnd w:id="21"/>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0D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0DD">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0DE">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0DF">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E0">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0E1">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0E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9kk8xu" w:id="22"/>
      <w:bookmarkEnd w:id="22"/>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0E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0E4">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0E5">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0E6">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opuj5n" w:id="23"/>
      <w:bookmarkEnd w:id="23"/>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0E9">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8pi1tg" w:id="24"/>
      <w:bookmarkEnd w:id="24"/>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0E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0E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0EC">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0ED">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0E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0E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0F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0F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F2">
      <w:pPr>
        <w:pStyle w:val="Heading5"/>
        <w:numPr>
          <w:ilvl w:val="4"/>
          <w:numId w:val="8"/>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0F3">
      <w:pPr>
        <w:pStyle w:val="Heading5"/>
        <w:numPr>
          <w:ilvl w:val="4"/>
          <w:numId w:val="8"/>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0F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0F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7">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0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2">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0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Order Schedule 2 (Staff Transfer)</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Order Ref: </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rsid w:val="00D13878"/>
    <w:p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val="1"/>
    <w:qFormat w:val="1"/>
    <w:rsid w:val="00D13878"/>
    <w:pPr>
      <w:keepNext w:val="1"/>
      <w:keepLines w:val="1"/>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val="1"/>
    <w:qFormat w:val="1"/>
    <w:rsid w:val="00D13878"/>
    <w:pPr>
      <w:keepLines w:val="1"/>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val="1"/>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val="1"/>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val="1"/>
    <w:unhideWhenUsed w:val="1"/>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rsid w:val="00D13878"/>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3"/>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3"/>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3"/>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3"/>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3"/>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3"/>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3"/>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3"/>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3"/>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tabs>
        <w:tab w:val="left" w:pos="142"/>
        <w:tab w:val="num" w:pos="720"/>
      </w:tabs>
      <w:overflowPunct w:val="1"/>
      <w:autoSpaceDE w:val="1"/>
      <w:autoSpaceDN w:val="1"/>
      <w:spacing w:before="120"/>
      <w:ind w:left="720" w:hanging="7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tabs>
        <w:tab w:val="left" w:pos="1985"/>
        <w:tab w:val="num" w:pos="2160"/>
      </w:tabs>
      <w:overflowPunct w:val="1"/>
      <w:autoSpaceDE w:val="1"/>
      <w:autoSpaceDN w:val="1"/>
      <w:spacing w:after="120" w:before="120"/>
      <w:ind w:left="2160" w:hanging="7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 w:val="num" w:pos="2160"/>
      </w:tabs>
      <w:ind w:left="2160" w:hanging="720"/>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num" w:pos="2160"/>
        <w:tab w:val="left" w:pos="3119"/>
      </w:tabs>
      <w:ind w:left="2160" w:hanging="720"/>
    </w:pPr>
  </w:style>
  <w:style w:type="paragraph" w:styleId="GPSL6numbered" w:customStyle="1">
    <w:name w:val="GPS L6 numbered"/>
    <w:basedOn w:val="GPSL5numberedclause"/>
    <w:uiPriority w:val="99"/>
    <w:qFormat w:val="1"/>
    <w:rsid w:val="00D13878"/>
    <w:pPr>
      <w:numPr>
        <w:ilvl w:val="5"/>
      </w:numPr>
      <w:tabs>
        <w:tab w:val="num" w:pos="2160"/>
        <w:tab w:val="left" w:pos="3686"/>
      </w:tabs>
      <w:ind w:left="2160" w:hanging="720"/>
    </w:pPr>
  </w:style>
  <w:style w:type="character" w:styleId="GPSL3numberedclauseChar" w:customStyle="1">
    <w:name w:val="GPS L3 numbered clause Char"/>
    <w:link w:val="GPSL3numberedclause"/>
    <w:rPr>
      <w:rFonts w:cs="Arial" w:eastAsia="Times New Roman"/>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tabs>
        <w:tab w:val="clear" w:pos="1134"/>
        <w:tab w:val="clear" w:pos="1440"/>
      </w:tabs>
      <w:ind w:left="0" w:firstLine="0"/>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tabs>
        <w:tab w:val="clear" w:pos="720"/>
      </w:tabs>
      <w:ind w:left="0" w:firstLine="0"/>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tabs>
        <w:tab w:val="left" w:pos="1134"/>
        <w:tab w:val="num" w:pos="1440"/>
      </w:tabs>
      <w:overflowPunct w:val="1"/>
      <w:autoSpaceDE w:val="1"/>
      <w:autoSpaceDN w:val="1"/>
      <w:spacing w:after="120" w:before="120"/>
      <w:ind w:left="1440" w:hanging="720"/>
      <w:textAlignment w:val="auto"/>
    </w:pPr>
    <w:rPr>
      <w:b w:val="1"/>
      <w:lang w:eastAsia="zh-CN"/>
    </w:rPr>
  </w:style>
  <w:style w:type="paragraph" w:styleId="GPsDefinition" w:customStyle="1">
    <w:name w:val="GPs Definition"/>
    <w:basedOn w:val="Normal"/>
    <w:uiPriority w:val="99"/>
    <w:qFormat w:val="1"/>
    <w:rsid w:val="00D13878"/>
    <w:pPr>
      <w:tabs>
        <w:tab w:val="left" w:pos="175"/>
        <w:tab w:val="num" w:pos="720"/>
      </w:tabs>
      <w:spacing w:after="120"/>
      <w:ind w:left="720" w:hanging="720"/>
    </w:pPr>
  </w:style>
  <w:style w:type="paragraph" w:styleId="GPSDefinitionL2" w:customStyle="1">
    <w:name w:val="GPS Definition L2"/>
    <w:basedOn w:val="GPsDefinition"/>
    <w:uiPriority w:val="99"/>
    <w:qFormat w:val="1"/>
    <w:rsid w:val="00D13878"/>
    <w:pPr>
      <w:numPr>
        <w:ilvl w:val="1"/>
      </w:numPr>
      <w:tabs>
        <w:tab w:val="num" w:pos="720"/>
      </w:tabs>
      <w:ind w:left="720" w:hanging="720"/>
    </w:pPr>
  </w:style>
  <w:style w:type="paragraph" w:styleId="GPSDefinitionL3" w:customStyle="1">
    <w:name w:val="GPS Definition L3"/>
    <w:basedOn w:val="GPSDefinitionL2"/>
    <w:uiPriority w:val="99"/>
    <w:qFormat w:val="1"/>
    <w:rsid w:val="00D13878"/>
    <w:pPr>
      <w:numPr>
        <w:ilvl w:val="2"/>
      </w:numPr>
      <w:tabs>
        <w:tab w:val="num" w:pos="720"/>
      </w:tabs>
      <w:ind w:left="720" w:hanging="720"/>
    </w:pPr>
  </w:style>
  <w:style w:type="paragraph" w:styleId="GPSDefinitionL4" w:customStyle="1">
    <w:name w:val="GPS Definition L4"/>
    <w:basedOn w:val="GPSDefinitionL3"/>
    <w:uiPriority w:val="99"/>
    <w:qFormat w:val="1"/>
    <w:rsid w:val="00D13878"/>
    <w:pPr>
      <w:numPr>
        <w:ilvl w:val="3"/>
      </w:numPr>
      <w:tabs>
        <w:tab w:val="num" w:pos="720"/>
      </w:tabs>
      <w:ind w:left="720" w:hanging="720"/>
    </w:pPr>
  </w:style>
  <w:style w:type="character" w:styleId="GPSL1CLAUSEHEADINGChar" w:customStyle="1">
    <w:name w:val="GPS L1 CLAUSE HEADING Char"/>
    <w:link w:val="GPSL1CLAUSEHEADING"/>
    <w:uiPriority w:val="99"/>
    <w:rPr>
      <w:rFonts w:cs="Arial" w:eastAsia="STZhongsong"/>
      <w:b w:val="1"/>
      <w:caps w:val="1"/>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ind w:left="360" w:hanging="360"/>
    </w:pPr>
    <w:rPr>
      <w:color w:val="000000"/>
    </w:rPr>
    <w:tblPr>
      <w:tblStyleRowBandSize w:val="1"/>
      <w:tblStyleColBandSize w:val="1"/>
      <w:tblCellMar>
        <w:left w:w="115.0" w:type="dxa"/>
        <w:right w:w="115.0" w:type="dxa"/>
      </w:tblCellMar>
    </w:tblPr>
  </w:style>
  <w:style w:type="table" w:styleId="a5" w:customStyle="1">
    <w:basedOn w:val="TableNormal"/>
    <w:pPr>
      <w:ind w:left="360" w:hanging="360"/>
    </w:pPr>
    <w:rPr>
      <w:color w:val="000000"/>
    </w:rPr>
    <w:tblPr>
      <w:tblStyleRowBandSize w:val="1"/>
      <w:tblStyleColBandSize w:val="1"/>
      <w:tblCellMar>
        <w:left w:w="115.0" w:type="dxa"/>
        <w:right w:w="115.0" w:type="dxa"/>
      </w:tblCellMar>
    </w:tblPr>
  </w:style>
  <w:style w:type="table" w:styleId="a6" w:customStyle="1">
    <w:basedOn w:val="TableNormal"/>
    <w:pPr>
      <w:ind w:left="360" w:hanging="360"/>
    </w:pPr>
    <w:rPr>
      <w:color w:val="000000"/>
    </w:rPr>
    <w:tblPr>
      <w:tblStyleRowBandSize w:val="1"/>
      <w:tblStyleColBandSize w:val="1"/>
      <w:tblCellMar>
        <w:left w:w="115.0" w:type="dxa"/>
        <w:right w:w="115.0" w:type="dxa"/>
      </w:tblCellMar>
    </w:tblPr>
  </w:style>
  <w:style w:type="table" w:styleId="a7" w:customStyle="1">
    <w:basedOn w:val="TableNormal"/>
    <w:pPr>
      <w:ind w:left="360" w:hanging="360"/>
    </w:pPr>
    <w:rPr>
      <w:color w:val="000000"/>
    </w:rPr>
    <w:tblPr>
      <w:tblStyleRowBandSize w:val="1"/>
      <w:tblStyleColBandSize w:val="1"/>
      <w:tblCellMar>
        <w:left w:w="115.0" w:type="dxa"/>
        <w:right w:w="115.0" w:type="dxa"/>
      </w:tblCellMar>
    </w:tblPr>
  </w:style>
  <w:style w:type="table" w:styleId="a8" w:customStyle="1">
    <w:basedOn w:val="TableNormal"/>
    <w:pPr>
      <w:ind w:left="360" w:hanging="360"/>
    </w:pPr>
    <w:rPr>
      <w:color w:val="000000"/>
    </w:rPr>
    <w:tblPr>
      <w:tblStyleRowBandSize w:val="1"/>
      <w:tblStyleColBandSize w:val="1"/>
      <w:tblCellMar>
        <w:left w:w="115.0" w:type="dxa"/>
        <w:right w:w="115.0" w:type="dxa"/>
      </w:tblCellMar>
    </w:tblPr>
  </w:style>
  <w:style w:type="table" w:styleId="a9" w:customStyle="1">
    <w:basedOn w:val="TableNormal"/>
    <w:pPr>
      <w:ind w:left="360" w:hanging="360"/>
    </w:pPr>
    <w:rPr>
      <w:color w:val="000000"/>
    </w:rPr>
    <w:tblPr>
      <w:tblStyleRowBandSize w:val="1"/>
      <w:tblStyleColBandSize w:val="1"/>
      <w:tblCellMar>
        <w:left w:w="115.0" w:type="dxa"/>
        <w:right w:w="115.0" w:type="dxa"/>
      </w:tblCellMar>
    </w:tblPr>
  </w:style>
  <w:style w:type="table" w:styleId="aa" w:customStyle="1">
    <w:basedOn w:val="TableNormal"/>
    <w:pPr>
      <w:ind w:left="360" w:hanging="360"/>
    </w:pPr>
    <w:rPr>
      <w:color w:val="000000"/>
    </w:rPr>
    <w:tblPr>
      <w:tblStyleRowBandSize w:val="1"/>
      <w:tblStyleColBandSize w:val="1"/>
      <w:tblCellMar>
        <w:left w:w="115.0" w:type="dxa"/>
        <w:right w:w="115.0" w:type="dxa"/>
      </w:tblCellMar>
    </w:tblPr>
  </w:style>
  <w:style w:type="table" w:styleId="ab" w:customStyle="1">
    <w:basedOn w:val="TableNormal"/>
    <w:pPr>
      <w:ind w:left="360" w:hanging="360"/>
    </w:pPr>
    <w:rPr>
      <w:color w:val="000000"/>
    </w:rPr>
    <w:tblPr>
      <w:tblStyleRowBandSize w:val="1"/>
      <w:tblStyleColBandSize w:val="1"/>
      <w:tblCellMar>
        <w:left w:w="115.0" w:type="dxa"/>
        <w:right w:w="115.0" w:type="dxa"/>
      </w:tblCellMar>
    </w:tblPr>
  </w:style>
  <w:style w:type="table" w:styleId="ac" w:customStyle="1">
    <w:basedOn w:val="TableNormal"/>
    <w:pPr>
      <w:ind w:left="360" w:hanging="360"/>
    </w:pPr>
    <w:rPr>
      <w:color w:val="000000"/>
    </w:rPr>
    <w:tblPr>
      <w:tblStyleRowBandSize w:val="1"/>
      <w:tblStyleColBandSize w:val="1"/>
      <w:tblCellMar>
        <w:left w:w="115.0" w:type="dxa"/>
        <w:right w:w="115.0" w:type="dxa"/>
      </w:tblCellMar>
    </w:tblPr>
  </w:style>
  <w:style w:type="table" w:styleId="ad" w:customStyle="1">
    <w:basedOn w:val="TableNormal"/>
    <w:pPr>
      <w:ind w:left="360" w:hanging="360"/>
    </w:pPr>
    <w:rPr>
      <w:color w:val="000000"/>
    </w:rPr>
    <w:tblPr>
      <w:tblStyleRowBandSize w:val="1"/>
      <w:tblStyleColBandSize w:val="1"/>
      <w:tblCellMar>
        <w:left w:w="115.0" w:type="dxa"/>
        <w:right w:w="115.0" w:type="dxa"/>
      </w:tblCellMar>
    </w:tblPr>
  </w:style>
  <w:style w:type="table" w:styleId="ae" w:customStyle="1">
    <w:basedOn w:val="TableNormal"/>
    <w:pPr>
      <w:ind w:left="360" w:hanging="360"/>
    </w:pPr>
    <w:rPr>
      <w:color w:val="000000"/>
    </w:rPr>
    <w:tblPr>
      <w:tblStyleRowBandSize w:val="1"/>
      <w:tblStyleColBandSize w:val="1"/>
      <w:tblCellMar>
        <w:left w:w="115.0" w:type="dxa"/>
        <w:right w:w="115.0" w:type="dxa"/>
      </w:tblCellMar>
    </w:tblPr>
  </w:style>
  <w:style w:type="table" w:styleId="af" w:customStyle="1">
    <w:basedOn w:val="TableNormal"/>
    <w:pPr>
      <w:ind w:left="360" w:hanging="360"/>
    </w:pPr>
    <w:rPr>
      <w:color w:val="00000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uAOxS3KSb83CTOGyZmhfkllAZQ==">CgMxLjAyCGguZ2pkZ3hzMgloLjQ5eDJpazUyCWguMnAyY3NyeTIJaC4xNDduMnpyMgloLjNvN2FsbmsyCWguMjNja3Z2ZDIIaC5paHY2MzYyCWguMzJoaW9xejIJaC4xaG1zeXlzMgloLjM0ZzBkd2QyCWguMWpsYW80NjIJaC40M2t5NnJ6MgloLjJpcThnenMyCGgueHZpcjdsMgloLjNodjY5dmUyCWguMXgwZ2szNzIJaC40aDA0MnIwMgloLjJ3NWVjeXQyCWguMWJhb242bTIJaC4zdmFjNXVmMgloLjJhZm1nMjgyCGgucGt3cWExMgloLjM5a2s4eHUyCWguMW9wdWo1bjIJaC40OHBpMXRnOABqJQoUc3VnZ2VzdC45OWc5cGJlMWVxZTYSDUJyaWRnaGUgRm9yZGVqJQoUc3VnZ2VzdC52cnZuMGV1bnkwZ2ESDUJyaWRnaGUgRm9yZGVqJQoUc3VnZ2VzdC5zcThsdjZxdDhiYWoSDUJyaWRnaGUgRm9yZGVqJQoUc3VnZ2VzdC5pazg0ZWQ0aDVtejISDUJyaWRnaGUgRm9yZGVqJQoUc3VnZ2VzdC5sdTZrcTU0c2JsdjUSDUJyaWRnaGUgRm9yZGVyITFwdWpwUEQtRFhtSFdKMVU4N05DQmZPQmMyTEcwQXVE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2025-02-10T16:38:00Z</dcterms:created>
  <dc:creator>Bridghe Forde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